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11号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嘉荫县乌拉嘎镇人民政府锅炉改造项目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嘉荫县乌拉嘎镇人民政府：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嘉荫县乌拉嘎镇人民政府锅炉改造项目环境影响报告表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项目名称：嘉荫县乌拉嘎镇人民政府锅炉改造项目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建设地点：黑龙江省伊春市嘉荫县乌拉嘎镇人民政府</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建设单位：嘉荫县乌拉嘎镇人民政府 </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建设性质：改扩建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环境影响评价机构：黑龙江沃伊环保科技有限公司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项目内容：</w:t>
      </w:r>
      <w:bookmarkStart w:id="1" w:name="_Hlk108069045"/>
      <w:r>
        <w:rPr>
          <w:rFonts w:hint="eastAsia" w:ascii="仿宋_GB2312" w:hAnsi="仿宋_GB2312" w:eastAsia="仿宋_GB2312" w:cs="仿宋_GB2312"/>
          <w:sz w:val="32"/>
          <w:szCs w:val="32"/>
          <w:lang w:val="en-US" w:eastAsia="zh-CN"/>
        </w:rPr>
        <w:t>项目位于黑龙江省伊春市嘉荫县乌拉嘎镇河西路东侧乌拉嘎镇人民政府，本项目利用现有房屋，拆除原有锅炉新建一台2.1MW热水锅炉（锅炉型号CWHG2.1-85/60-AⅢ），用于乌拉嘎镇人民政府供热，供热面积8500m2，。</w:t>
      </w:r>
    </w:p>
    <w:bookmarkEnd w:id="1"/>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总投资：44万元，其中环保投资6万元。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施工期利用现有房屋，主要为室内设备安装，对环境影响较小，施工人员生活污水，依托现有防渗化粪池，生活污水排入防渗化粪池，定期清掏，外运堆肥。拆除的锅炉及配套设施，交由从事再生资源回收经营活动的企业处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锅炉废水和软化水处理废水排入沉淀池内，定期加入絮凝剂（PAC）一部分用于灰渣降尘，一部分用于厂区降尘；生活污水经化粪池处理后定期清掏，外运堆肥，不外排。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2" w:name="_Hlk111126776"/>
      <w:r>
        <w:rPr>
          <w:rFonts w:hint="eastAsia" w:ascii="仿宋_GB2312" w:hAnsi="仿宋_GB2312" w:eastAsia="仿宋_GB2312" w:cs="仿宋_GB2312"/>
          <w:b w:val="0"/>
          <w:bCs/>
          <w:kern w:val="0"/>
          <w:sz w:val="32"/>
          <w:szCs w:val="32"/>
          <w:lang w:val="en-US" w:eastAsia="zh-CN"/>
        </w:rPr>
        <w:t>生活垃圾由环卫部门统一清运。废布袋、废离子交换树脂由厂家回收处置，生物质灰渣和除尘灰外售综合利用。沉淀池污泥定期清掏，送往垃圾填埋场填埋处理。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p>
    <w:bookmarkEnd w:id="2"/>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锅炉采用低氮燃烧技术，燃生物质锅炉产生的烟气经旋风除尘器+布袋除尘器1根30m高排气筒排放。</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28日</w:t>
      </w:r>
    </w:p>
    <w:p>
      <w:pPr>
        <w:pStyle w:val="2"/>
        <w:rPr>
          <w:rFonts w:hint="eastAsia" w:ascii="仿宋_GB2312" w:hAnsi="仿宋_GB2312" w:eastAsia="仿宋_GB2312" w:cs="仿宋_GB2312"/>
          <w:b w:val="0"/>
          <w:bCs/>
          <w:spacing w:val="-20"/>
          <w:sz w:val="32"/>
          <w:szCs w:val="32"/>
          <w:lang w:val="en-US" w:eastAsia="zh-CN"/>
        </w:rPr>
      </w:pPr>
    </w:p>
    <w:p>
      <w:pPr>
        <w:rPr>
          <w:rFonts w:hint="eastAsia" w:ascii="仿宋_GB2312" w:hAnsi="仿宋_GB2312" w:eastAsia="仿宋_GB2312" w:cs="仿宋_GB2312"/>
          <w:b w:val="0"/>
          <w:bCs/>
          <w:spacing w:val="-20"/>
          <w:sz w:val="32"/>
          <w:szCs w:val="32"/>
          <w:lang w:val="en-US" w:eastAsia="zh-CN"/>
        </w:rPr>
      </w:pPr>
    </w:p>
    <w:p>
      <w:pPr>
        <w:pStyle w:val="2"/>
        <w:rPr>
          <w:rFonts w:hint="eastAsia" w:ascii="仿宋_GB2312" w:hAnsi="仿宋_GB2312" w:eastAsia="仿宋_GB2312" w:cs="仿宋_GB2312"/>
          <w:b w:val="0"/>
          <w:bCs/>
          <w:spacing w:val="-20"/>
          <w:sz w:val="32"/>
          <w:szCs w:val="32"/>
          <w:lang w:val="en-US" w:eastAsia="zh-CN"/>
        </w:rPr>
      </w:pPr>
    </w:p>
    <w:p>
      <w:pPr>
        <w:rPr>
          <w:rFonts w:hint="eastAsia" w:ascii="仿宋_GB2312" w:hAnsi="仿宋_GB2312" w:eastAsia="仿宋_GB2312" w:cs="仿宋_GB2312"/>
          <w:b w:val="0"/>
          <w:bCs/>
          <w:spacing w:val="-20"/>
          <w:sz w:val="32"/>
          <w:szCs w:val="32"/>
          <w:lang w:val="en-US" w:eastAsia="zh-CN"/>
        </w:rPr>
      </w:pPr>
    </w:p>
    <w:p>
      <w:pPr>
        <w:pStyle w:val="2"/>
        <w:rPr>
          <w:rFonts w:hint="eastAsia" w:ascii="仿宋_GB2312" w:hAnsi="仿宋_GB2312" w:eastAsia="仿宋_GB2312" w:cs="仿宋_GB2312"/>
          <w:b w:val="0"/>
          <w:bCs/>
          <w:spacing w:val="-20"/>
          <w:sz w:val="32"/>
          <w:szCs w:val="32"/>
          <w:lang w:val="en-US" w:eastAsia="zh-CN"/>
        </w:rPr>
      </w:pPr>
    </w:p>
    <w:p>
      <w:pPr>
        <w:rPr>
          <w:rFonts w:hint="eastAsia" w:ascii="仿宋_GB2312" w:hAnsi="仿宋_GB2312" w:eastAsia="仿宋_GB2312" w:cs="仿宋_GB2312"/>
          <w:b w:val="0"/>
          <w:bCs/>
          <w:spacing w:val="-20"/>
          <w:sz w:val="32"/>
          <w:szCs w:val="32"/>
          <w:lang w:val="en-US" w:eastAsia="zh-CN"/>
        </w:rPr>
      </w:pPr>
    </w:p>
    <w:p>
      <w:pPr>
        <w:pStyle w:val="2"/>
        <w:rPr>
          <w:rFonts w:hint="eastAsia" w:ascii="仿宋_GB2312" w:hAnsi="仿宋_GB2312" w:eastAsia="仿宋_GB2312" w:cs="仿宋_GB2312"/>
          <w:b w:val="0"/>
          <w:bCs/>
          <w:spacing w:val="-20"/>
          <w:sz w:val="32"/>
          <w:szCs w:val="32"/>
          <w:lang w:val="en-US" w:eastAsia="zh-CN"/>
        </w:rPr>
      </w:pPr>
    </w:p>
    <w:p>
      <w:pPr>
        <w:pStyle w:val="2"/>
        <w:rPr>
          <w:rFonts w:hint="eastAsia" w:ascii="仿宋_GB2312" w:hAnsi="仿宋_GB2312" w:eastAsia="仿宋_GB2312" w:cs="仿宋_GB2312"/>
          <w:b w:val="0"/>
          <w:bCs/>
          <w:spacing w:val="-20"/>
          <w:sz w:val="32"/>
          <w:szCs w:val="32"/>
          <w:lang w:val="en-US" w:eastAsia="zh-CN"/>
        </w:rPr>
      </w:pPr>
    </w:p>
    <w:p>
      <w:pPr>
        <w:rPr>
          <w:rFonts w:hint="eastAsia"/>
          <w:lang w:val="en-US" w:eastAsia="zh-CN"/>
        </w:rPr>
      </w:pPr>
      <w:bookmarkStart w:id="3" w:name="_GoBack"/>
      <w:bookmarkEnd w:id="3"/>
    </w:p>
    <w:p>
      <w:pPr>
        <w:pStyle w:val="2"/>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280" w:firstLineChars="1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ABA65F9"/>
    <w:rsid w:val="0AF24DBE"/>
    <w:rsid w:val="0DDD4B8A"/>
    <w:rsid w:val="10643BE8"/>
    <w:rsid w:val="11111022"/>
    <w:rsid w:val="13820A34"/>
    <w:rsid w:val="14455071"/>
    <w:rsid w:val="149A7A47"/>
    <w:rsid w:val="153A470C"/>
    <w:rsid w:val="16383523"/>
    <w:rsid w:val="17957348"/>
    <w:rsid w:val="18496D0F"/>
    <w:rsid w:val="186A2FA6"/>
    <w:rsid w:val="1E790D19"/>
    <w:rsid w:val="21CE2586"/>
    <w:rsid w:val="23E341AC"/>
    <w:rsid w:val="2414155B"/>
    <w:rsid w:val="269C129A"/>
    <w:rsid w:val="26CC1D22"/>
    <w:rsid w:val="28EC4343"/>
    <w:rsid w:val="2A1349DD"/>
    <w:rsid w:val="2B193335"/>
    <w:rsid w:val="2E0F1DA6"/>
    <w:rsid w:val="32770ED0"/>
    <w:rsid w:val="365B5056"/>
    <w:rsid w:val="39D16722"/>
    <w:rsid w:val="39ED67B4"/>
    <w:rsid w:val="3B7072B8"/>
    <w:rsid w:val="3ED2362F"/>
    <w:rsid w:val="3F105A2B"/>
    <w:rsid w:val="3FD860CF"/>
    <w:rsid w:val="40A419DF"/>
    <w:rsid w:val="42674667"/>
    <w:rsid w:val="47E425FE"/>
    <w:rsid w:val="498106AE"/>
    <w:rsid w:val="4B4B6D7C"/>
    <w:rsid w:val="4C0A5E75"/>
    <w:rsid w:val="505363E9"/>
    <w:rsid w:val="50925F6D"/>
    <w:rsid w:val="54284C14"/>
    <w:rsid w:val="579F6D41"/>
    <w:rsid w:val="586E2018"/>
    <w:rsid w:val="5905198F"/>
    <w:rsid w:val="5A7C2027"/>
    <w:rsid w:val="5D821EBD"/>
    <w:rsid w:val="60845921"/>
    <w:rsid w:val="60BC0CEF"/>
    <w:rsid w:val="614C1A72"/>
    <w:rsid w:val="617C2ED8"/>
    <w:rsid w:val="68B808FF"/>
    <w:rsid w:val="68C42AB2"/>
    <w:rsid w:val="693C36A0"/>
    <w:rsid w:val="6A6E2CEB"/>
    <w:rsid w:val="6D2726DD"/>
    <w:rsid w:val="6E8D27C7"/>
    <w:rsid w:val="6F00224C"/>
    <w:rsid w:val="71323A25"/>
    <w:rsid w:val="71EE23F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eastAsia="仿宋_GB2312"/>
      <w:kern w:val="2"/>
      <w:sz w:val="21"/>
    </w:r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Normal (Web)1"/>
    <w:basedOn w:val="1"/>
    <w:next w:val="7"/>
    <w:qFormat/>
    <w:uiPriority w:val="0"/>
    <w:pPr>
      <w:widowControl/>
      <w:jc w:val="left"/>
    </w:pPr>
    <w:rPr>
      <w:rFonts w:ascii="宋体" w:cs="Times New Roman"/>
      <w:kern w:val="0"/>
      <w:sz w:val="24"/>
      <w:szCs w:val="21"/>
    </w:rPr>
  </w:style>
  <w:style w:type="paragraph" w:customStyle="1" w:styleId="7">
    <w:name w:val="Date1"/>
    <w:basedOn w:val="1"/>
    <w:next w:val="1"/>
    <w:qFormat/>
    <w:uiPriority w:val="0"/>
    <w:pPr>
      <w:ind w:left="2500" w:leftChars="2500"/>
    </w:pPr>
  </w:style>
  <w:style w:type="paragraph" w:styleId="8">
    <w:name w:val="List Bullet 5"/>
    <w:basedOn w:val="1"/>
    <w:semiHidden/>
    <w:unhideWhenUsed/>
    <w:qFormat/>
    <w:uiPriority w:val="99"/>
    <w:pPr>
      <w:numPr>
        <w:ilvl w:val="0"/>
        <w:numId w:val="1"/>
      </w:numPr>
    </w:pPr>
  </w:style>
  <w:style w:type="paragraph" w:styleId="9">
    <w:name w:val="Balloon Text"/>
    <w:basedOn w:val="1"/>
    <w:link w:val="31"/>
    <w:semiHidden/>
    <w:unhideWhenUsed/>
    <w:qFormat/>
    <w:uiPriority w:val="99"/>
    <w:rPr>
      <w:sz w:val="18"/>
      <w:szCs w:val="18"/>
    </w:rPr>
  </w:style>
  <w:style w:type="paragraph" w:styleId="10">
    <w:name w:val="footer"/>
    <w:basedOn w:val="1"/>
    <w:link w:val="30"/>
    <w:semiHidden/>
    <w:unhideWhenUsed/>
    <w:qFormat/>
    <w:uiPriority w:val="99"/>
    <w:pPr>
      <w:tabs>
        <w:tab w:val="center" w:pos="4153"/>
        <w:tab w:val="right" w:pos="8306"/>
      </w:tabs>
      <w:snapToGrid w:val="0"/>
      <w:jc w:val="left"/>
    </w:pPr>
    <w:rPr>
      <w:sz w:val="18"/>
      <w:szCs w:val="18"/>
    </w:rPr>
  </w:style>
  <w:style w:type="paragraph" w:styleId="11">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pPr>
    <w:rPr>
      <w:b/>
      <w:sz w:val="24"/>
    </w:rPr>
  </w:style>
  <w:style w:type="paragraph" w:styleId="13">
    <w:name w:val="List"/>
    <w:basedOn w:val="1"/>
    <w:next w:val="1"/>
    <w:qFormat/>
    <w:uiPriority w:val="0"/>
    <w:pPr>
      <w:ind w:left="200" w:hanging="200" w:hangingChars="200"/>
    </w:pPr>
  </w:style>
  <w:style w:type="paragraph" w:styleId="14">
    <w:name w:val="toc 2"/>
    <w:basedOn w:val="1"/>
    <w:next w:val="1"/>
    <w:semiHidden/>
    <w:qFormat/>
    <w:uiPriority w:val="0"/>
    <w:pPr>
      <w:ind w:left="420" w:leftChars="200"/>
    </w:p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1"/>
    <w:qFormat/>
    <w:uiPriority w:val="0"/>
    <w:pPr>
      <w:ind w:firstLine="420" w:firstLineChars="100"/>
    </w:pPr>
    <w:rPr>
      <w:rFonts w:ascii="Times New Roman" w:hAnsi="Times New Roman"/>
      <w:szCs w:val="24"/>
    </w:rPr>
  </w:style>
  <w:style w:type="paragraph" w:styleId="18">
    <w:name w:val="Body Text First Indent 2"/>
    <w:basedOn w:val="1"/>
    <w:next w:val="17"/>
    <w:qFormat/>
    <w:uiPriority w:val="0"/>
    <w:pPr>
      <w:ind w:firstLine="420" w:firstLineChars="200"/>
    </w:pPr>
    <w:rPr>
      <w:kern w:val="2"/>
      <w:sz w:val="21"/>
      <w:szCs w:val="24"/>
    </w:rPr>
  </w:style>
  <w:style w:type="paragraph" w:customStyle="1" w:styleId="21">
    <w:name w:val="11111"/>
    <w:basedOn w:val="1"/>
    <w:next w:val="1"/>
    <w:qFormat/>
    <w:uiPriority w:val="0"/>
    <w:pPr>
      <w:spacing w:line="360" w:lineRule="auto"/>
      <w:ind w:firstLine="200" w:firstLineChars="200"/>
    </w:pPr>
    <w:rPr>
      <w:rFonts w:hAnsi="宋体" w:cs="宋体"/>
      <w:szCs w:val="24"/>
    </w:rPr>
  </w:style>
  <w:style w:type="paragraph" w:customStyle="1" w:styleId="22">
    <w:name w:val="Default"/>
    <w:basedOn w:val="23"/>
    <w:next w:val="24"/>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5">
    <w:name w:val="样式 正文首行缩进 + 首行缩进:  2 字符1"/>
    <w:basedOn w:val="1"/>
    <w:next w:val="12"/>
    <w:qFormat/>
    <w:uiPriority w:val="0"/>
    <w:pPr>
      <w:spacing w:line="360" w:lineRule="auto"/>
      <w:ind w:firstLine="480" w:firstLineChars="200"/>
    </w:pPr>
    <w:rPr>
      <w:sz w:val="24"/>
    </w:rPr>
  </w:style>
  <w:style w:type="paragraph" w:customStyle="1" w:styleId="26">
    <w:name w:val="表头"/>
    <w:basedOn w:val="13"/>
    <w:next w:val="27"/>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27">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paragraph" w:customStyle="1" w:styleId="28">
    <w:name w:val="纯文本1"/>
    <w:basedOn w:val="1"/>
    <w:qFormat/>
    <w:uiPriority w:val="0"/>
    <w:pPr>
      <w:adjustRightInd w:val="0"/>
    </w:pPr>
    <w:rPr>
      <w:rFonts w:ascii="宋体" w:hAnsi="Courier New"/>
      <w:szCs w:val="20"/>
    </w:rPr>
  </w:style>
  <w:style w:type="character" w:customStyle="1" w:styleId="29">
    <w:name w:val="页眉 Char"/>
    <w:basedOn w:val="20"/>
    <w:link w:val="11"/>
    <w:semiHidden/>
    <w:qFormat/>
    <w:uiPriority w:val="99"/>
    <w:rPr>
      <w:sz w:val="18"/>
      <w:szCs w:val="18"/>
    </w:rPr>
  </w:style>
  <w:style w:type="character" w:customStyle="1" w:styleId="30">
    <w:name w:val="页脚 Char"/>
    <w:basedOn w:val="20"/>
    <w:link w:val="10"/>
    <w:semiHidden/>
    <w:qFormat/>
    <w:uiPriority w:val="99"/>
    <w:rPr>
      <w:sz w:val="18"/>
      <w:szCs w:val="18"/>
    </w:rPr>
  </w:style>
  <w:style w:type="character" w:customStyle="1" w:styleId="31">
    <w:name w:val="批注框文本 Char"/>
    <w:basedOn w:val="20"/>
    <w:link w:val="9"/>
    <w:semiHidden/>
    <w:qFormat/>
    <w:uiPriority w:val="99"/>
    <w:rPr>
      <w:sz w:val="18"/>
      <w:szCs w:val="18"/>
    </w:rPr>
  </w:style>
  <w:style w:type="paragraph" w:customStyle="1" w:styleId="32">
    <w:name w:val="【正文】"/>
    <w:basedOn w:val="1"/>
    <w:next w:val="15"/>
    <w:qFormat/>
    <w:uiPriority w:val="99"/>
    <w:pPr>
      <w:spacing w:line="360" w:lineRule="auto"/>
      <w:ind w:firstLine="480" w:firstLineChars="200"/>
    </w:pPr>
    <w:rPr>
      <w:rFonts w:ascii="Calibri" w:hAnsi="Calibri" w:eastAsia="宋体" w:cs="Times New Roman"/>
      <w:kern w:val="0"/>
      <w:sz w:val="24"/>
      <w:szCs w:val="24"/>
    </w:rPr>
  </w:style>
  <w:style w:type="paragraph" w:customStyle="1" w:styleId="33">
    <w:name w:val="正文00"/>
    <w:basedOn w:val="1"/>
    <w:next w:val="34"/>
    <w:qFormat/>
    <w:uiPriority w:val="0"/>
    <w:pPr>
      <w:spacing w:line="360" w:lineRule="auto"/>
      <w:ind w:left="480" w:firstLine="3808"/>
    </w:pPr>
    <w:rPr>
      <w:kern w:val="0"/>
      <w:sz w:val="20"/>
      <w:szCs w:val="20"/>
    </w:rPr>
  </w:style>
  <w:style w:type="paragraph" w:customStyle="1" w:styleId="34">
    <w:name w:val="样式 Times New Roman 五号 居中1"/>
    <w:basedOn w:val="1"/>
    <w:next w:val="26"/>
    <w:qFormat/>
    <w:uiPriority w:val="0"/>
    <w:pPr>
      <w:ind w:firstLine="3584"/>
      <w:jc w:val="center"/>
    </w:pPr>
    <w:rPr>
      <w:kern w:val="0"/>
      <w:sz w:val="20"/>
      <w:szCs w:val="20"/>
    </w:rPr>
  </w:style>
  <w:style w:type="paragraph" w:customStyle="1" w:styleId="35">
    <w:name w:val="a正文"/>
    <w:basedOn w:val="36"/>
    <w:qFormat/>
    <w:uiPriority w:val="0"/>
    <w:pPr>
      <w:ind w:firstLine="480"/>
    </w:pPr>
    <w:rPr>
      <w:rFonts w:cs="Times New Roman"/>
    </w:rPr>
  </w:style>
  <w:style w:type="paragraph" w:customStyle="1" w:styleId="36">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6</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啡杯</cp:lastModifiedBy>
  <cp:lastPrinted>2025-08-22T03:08:00Z</cp:lastPrinted>
  <dcterms:modified xsi:type="dcterms:W3CDTF">2025-08-27T07:29:57Z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